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1F" w:rsidRDefault="00883F1F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883F1F" w:rsidRDefault="00883F1F">
      <w:pPr>
        <w:pStyle w:val="ConsPlusTitle"/>
        <w:widowControl/>
        <w:jc w:val="center"/>
        <w:outlineLvl w:val="0"/>
      </w:pPr>
    </w:p>
    <w:p w:rsidR="00883F1F" w:rsidRDefault="00883F1F">
      <w:pPr>
        <w:pStyle w:val="ConsPlusTitle"/>
        <w:widowControl/>
        <w:jc w:val="center"/>
        <w:outlineLvl w:val="0"/>
      </w:pPr>
      <w:r>
        <w:t>ПОСТАНОВЛЕНИЕ</w:t>
      </w:r>
    </w:p>
    <w:p w:rsidR="00883F1F" w:rsidRDefault="00883F1F">
      <w:pPr>
        <w:pStyle w:val="ConsPlusTitle"/>
        <w:widowControl/>
        <w:jc w:val="center"/>
        <w:outlineLvl w:val="0"/>
      </w:pPr>
      <w:r>
        <w:t>от 14 ноября 2009 г. N 929</w:t>
      </w:r>
    </w:p>
    <w:p w:rsidR="00883F1F" w:rsidRDefault="00883F1F">
      <w:pPr>
        <w:pStyle w:val="ConsPlusTitle"/>
        <w:widowControl/>
        <w:jc w:val="center"/>
        <w:outlineLvl w:val="0"/>
      </w:pPr>
    </w:p>
    <w:p w:rsidR="00883F1F" w:rsidRDefault="00883F1F">
      <w:pPr>
        <w:pStyle w:val="ConsPlusTitle"/>
        <w:widowControl/>
        <w:jc w:val="center"/>
        <w:outlineLvl w:val="0"/>
      </w:pPr>
      <w:r>
        <w:t>О ПОРЯДКЕ ОСУЩЕСТВЛЕНИЯ</w:t>
      </w:r>
    </w:p>
    <w:p w:rsidR="00883F1F" w:rsidRDefault="00883F1F">
      <w:pPr>
        <w:pStyle w:val="ConsPlusTitle"/>
        <w:widowControl/>
        <w:jc w:val="center"/>
        <w:outlineLvl w:val="0"/>
      </w:pPr>
      <w:r>
        <w:t>ГОСУДАРСТВЕННОГО РЕГУЛИРОВАНИЯ В ЭЛЕКТРОЭНЕРГЕТИКЕ,</w:t>
      </w:r>
    </w:p>
    <w:p w:rsidR="00883F1F" w:rsidRDefault="00883F1F">
      <w:pPr>
        <w:pStyle w:val="ConsPlusTitle"/>
        <w:widowControl/>
        <w:jc w:val="center"/>
        <w:outlineLvl w:val="0"/>
      </w:pPr>
      <w:proofErr w:type="gramStart"/>
      <w:r>
        <w:t>УСЛОВИЯХ</w:t>
      </w:r>
      <w:proofErr w:type="gramEnd"/>
      <w:r>
        <w:t xml:space="preserve"> ЕГО ВВЕДЕНИЯ И ПРЕКРАЩЕНИЯ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27.12.2010 N 1172)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электроэнергетике" Правительство Российской Федерации постановляет: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27.12.2010 N 1172)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наступлении обстоятельств, предусмотренных </w:t>
      </w:r>
      <w:hyperlink r:id="rId8" w:history="1">
        <w:r>
          <w:rPr>
            <w:rFonts w:ascii="Calibri" w:hAnsi="Calibri" w:cs="Calibri"/>
            <w:color w:val="0000FF"/>
          </w:rPr>
          <w:t>статьей 23(3)</w:t>
        </w:r>
      </w:hyperlink>
      <w:r>
        <w:rPr>
          <w:rFonts w:ascii="Calibri" w:hAnsi="Calibri" w:cs="Calibri"/>
        </w:rPr>
        <w:t xml:space="preserve"> Федерального закона "Об электроэнергетике", Министерство энергетики Российской Федерации по согласованию с Федеральной службой по тарифам вносит в Правительство Российской Федерации предложение о введении государственного регулирования в электроэнергетике на период действия указанных обстоятельств, </w:t>
      </w:r>
      <w:proofErr w:type="gramStart"/>
      <w:r>
        <w:rPr>
          <w:rFonts w:ascii="Calibri" w:hAnsi="Calibri" w:cs="Calibri"/>
        </w:rPr>
        <w:t>подготовленное</w:t>
      </w:r>
      <w:proofErr w:type="gramEnd"/>
      <w:r>
        <w:rPr>
          <w:rFonts w:ascii="Calibri" w:hAnsi="Calibri" w:cs="Calibri"/>
        </w:rPr>
        <w:t xml:space="preserve">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(ценовых зонах) оптового рынка и превышении темпов изменения цен на электрическую энергию в соответствующей ценовой зоне (ценовых зонах) сверх ограничений, установленных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оптового рынка.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27.12.2010 N 1172)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Решение о введении и прекращении государственного регулирования в электроэнергетике принимается актом Правительства Российской Федерации с указанием срока, на который вводится такое государственное регулирование. Указанный срок может быть продлен по решению Правительства Российской Федерации при условии сохранения обстоятельств, по причине которых вводилось государственное регулирование в электроэнергетике.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государственное регулирование в электроэнергетике осуществляется в 2 этапа. На первом этапе применяется особый режим расчетов цен на электрическую энергию, установленный </w:t>
      </w:r>
      <w:hyperlink r:id="rId1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оптового рынка электрической энергии (мощности) переходного периода, утвержденными Постановлением Правительства Российской Федерации от 24 октября 2003 г. N 643.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Переход ко второму этапу осуществляется в случае, если в период действия государственного регулирования в электроэнергетике темп изменения цен на электрическую энергию на оптовом рынке электрической энергии (мощности) превысил ограничения, установленные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оптового рынка электрической энергии (мощности) переходного периода, и примененный организацией коммерческой инфраструктуры оптового рынка на основании данных мониторинга, осуществляемого этой организацией, особый режим расчетов цен на электрическую энергию в</w:t>
      </w:r>
      <w:proofErr w:type="gramEnd"/>
      <w:r>
        <w:rPr>
          <w:rFonts w:ascii="Calibri" w:hAnsi="Calibri" w:cs="Calibri"/>
        </w:rPr>
        <w:t xml:space="preserve"> течение 7 суток со дня начала его применения не привел к возврату темпа изменения цен на электрическую энергию в пределы указанных ограничений.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втором этапе осуществляется государственное регулирование цен (тарифов) в ценовой зоне (ценовых зонах) оптового рынка электрической энергии (мощности). Срок осуществления государственного регулирования цен (тарифов) в ценовой зоне (ценовых зонах) оптового рынка электрической энергии (мощности) не может превышать 30 дней. По истечении указанного срока расчеты на оптовом рынке электрической энергии (мощности) производятся в общем порядке, определенном </w:t>
      </w:r>
      <w:hyperlink r:id="rId1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оптового рынка электрической энергии (мощности) переходного периода и договором о присоединении к торговой системе оптового рынка.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Установить, что в случае введения государственного регулирования цен (тарифов) в ценовой зоне (ценовых зонах) оптового рынка электрической энергии (мощности) до момента утверждения регулируемых уровней цен (тарифов), указанных в </w:t>
      </w:r>
      <w:hyperlink r:id="rId14" w:history="1">
        <w:r>
          <w:rPr>
            <w:rFonts w:ascii="Calibri" w:hAnsi="Calibri" w:cs="Calibri"/>
            <w:color w:val="0000FF"/>
          </w:rPr>
          <w:t>подпункте "б" пункта 6</w:t>
        </w:r>
      </w:hyperlink>
      <w:r>
        <w:rPr>
          <w:rFonts w:ascii="Calibri" w:hAnsi="Calibri" w:cs="Calibri"/>
        </w:rPr>
        <w:t xml:space="preserve"> настоящего Постановления: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регулируемые уровни цен (тарифы) на электрическую энергию, вырабатываемую при помощи генерирующего оборудования, учтенного в прогнозном балансе на 2007 год, соответствуют тарифам на электрическую энергию (мощность), продаваемую на оптовом рынке по договорам в рамках предельных (минимального и максимального) объемов продажи электрической энергии (мощности) по регулируемым ценам (тарифам);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регулируемые уровни цен (тарифов) на электрическую энергию, вырабатываемую при помощи генерирующего оборудования, не учтенного в прогнозном балансе на 2007 год, утверждаются Федеральной службой по тарифам, исходя из тарифов на электрическую энергию (мощность), продаваемую на оптовом рынке по договорам в рамках предельных (минимального и максимального) объемов продажи электрической энергии (мощности) по регулируемым ценам (тарифам), утвержденных указанной Службой в отношении электростанций</w:t>
      </w:r>
      <w:proofErr w:type="gramEnd"/>
      <w:r>
        <w:rPr>
          <w:rFonts w:ascii="Calibri" w:hAnsi="Calibri" w:cs="Calibri"/>
        </w:rPr>
        <w:t xml:space="preserve"> соответствующего типа генерации в ценовой зоне (ценовых зонах) и объемов производства электрической энергии поставщиками, определенных в прогнозном балансе на соответствующий год.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27.12.2010 N 1172.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6. Федеральной службе по тарифам: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а) в 3-месячный срок разработать и утвердить: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расчета регулируемых уровней цен (тарифов) на электрическую энергию, реализуемую поставщиками оптового рынка электрической энергии (мощности), применяемых при введении государственного регулирования цен (тарифов) в ценовой зоне (ценовых зонах) оптового рынка электрической энергии (мощности), в том числе в отношении электрической энергии, вырабатываемой при помощи генерирующего оборудования, не учтенного в прогнозном балансе на 2007 год;</w:t>
      </w:r>
      <w:proofErr w:type="gramEnd"/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согласованию с Министерством энергетики Российской Федерации - </w:t>
      </w:r>
      <w:hyperlink r:id="rId17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определения значения предельного темпа изменения цен</w:t>
      </w:r>
      <w:proofErr w:type="gramEnd"/>
      <w:r>
        <w:rPr>
          <w:rFonts w:ascii="Calibri" w:hAnsi="Calibri" w:cs="Calibri"/>
        </w:rPr>
        <w:t xml:space="preserve"> на электрическую энергию в ценовой зоне (ценовых зонах) оптового рынка электрической энергии (мощности) в случае введения государственного регулирования в электроэнергетике;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согласованию с Министерством энергетики Российской Федерации - методические </w:t>
      </w:r>
      <w:hyperlink r:id="rId18" w:history="1">
        <w:r>
          <w:rPr>
            <w:rFonts w:ascii="Calibri" w:hAnsi="Calibri" w:cs="Calibri"/>
            <w:color w:val="0000FF"/>
          </w:rPr>
          <w:t>указания</w:t>
        </w:r>
      </w:hyperlink>
      <w:r>
        <w:rPr>
          <w:rFonts w:ascii="Calibri" w:hAnsi="Calibri" w:cs="Calibri"/>
        </w:rPr>
        <w:t>, предусматривающие особенности исключения ценовых заявок отдельных категорий поставщиков при расчете равновесной цены на электрическую энергию для каждого часа планируемых суток в случае введения государственного регулирования в электроэнергетике;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в 6-месячный срок утвердить регулируемые уровни цен (тарифов) на электрическую энергию поставщиков оптового рынка электрической энергии (мощности), применяемые при введении государственного регулирования цен (тарифов) в ценовой зоне (ценовых зонах) оптового рынка электрической энергии (мощности), в том числе в отношении электрической энергии, вырабатываемой при помощи генерирующего оборудования, не учтенного в прогнозном балансе на 2007 год.</w:t>
      </w:r>
      <w:proofErr w:type="gramEnd"/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Министерству энергетики Российской Федерации совместно с Федеральной службой по тарифам в 3-месячный срок разработать и внести в Правительство Российской Федерации предложения: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а) об особенностях купли-продажи мощности в условиях введения в установленном порядке государственного регулирования цен (тарифов) в ценовой зоне (ценовых зонах) оптового рынка электрической энергии (мощности) по окончании переходного периода в электроэнергетике;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б) об особенностях регистрации и учета свободных договоров купли-продажи электрической энергии и мощности в условиях введения в установленном порядке государственного регулирования цен (тарифов) в ценовой зоне (ценовых зонах) оптового рынка электрической энергии (мощности).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14 ноября 2009 г. N 929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83F1F" w:rsidRDefault="00883F1F">
      <w:pPr>
        <w:pStyle w:val="ConsPlusTitle"/>
        <w:widowControl/>
        <w:jc w:val="center"/>
        <w:outlineLvl w:val="0"/>
      </w:pPr>
      <w:r>
        <w:t>ИЗМЕНЕНИЯ,</w:t>
      </w:r>
    </w:p>
    <w:p w:rsidR="00883F1F" w:rsidRDefault="00883F1F">
      <w:pPr>
        <w:pStyle w:val="ConsPlusTitle"/>
        <w:widowControl/>
        <w:jc w:val="center"/>
        <w:outlineLvl w:val="0"/>
      </w:pPr>
      <w:r>
        <w:t xml:space="preserve">КОТОРЫЕ ВНОСЯТСЯ В ПРАВИЛА ОПТОВОГО РЫНКА </w:t>
      </w:r>
      <w:proofErr w:type="gramStart"/>
      <w:r>
        <w:t>ЭЛЕКТРИЧЕСКОЙ</w:t>
      </w:r>
      <w:proofErr w:type="gramEnd"/>
    </w:p>
    <w:p w:rsidR="00883F1F" w:rsidRDefault="00883F1F">
      <w:pPr>
        <w:pStyle w:val="ConsPlusTitle"/>
        <w:widowControl/>
        <w:jc w:val="center"/>
        <w:outlineLvl w:val="0"/>
      </w:pPr>
      <w:r>
        <w:t>ЭНЕРГИИ (МОЩНОСТИ) ПЕРЕХОДНОГО ПЕРИОДА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27.12.2010 N 1172.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3F1F" w:rsidRDefault="00883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r:id="rId20" w:history="1">
        <w:r>
          <w:rPr>
            <w:rFonts w:ascii="Calibri" w:hAnsi="Calibri" w:cs="Calibri"/>
            <w:i/>
            <w:iCs/>
            <w:color w:val="0000FF"/>
          </w:rPr>
          <w:t>Постановление Правительства РФ от 14.11.2009 N 929 (ред. от 27.12.2010) "О порядке осуществления государственного регулирования в электроэнергетике, условиях его введения и прекращения"</w:t>
        </w:r>
      </w:hyperlink>
      <w:r>
        <w:rPr>
          <w:rFonts w:ascii="Calibri" w:hAnsi="Calibri" w:cs="Calibri"/>
          <w:i/>
          <w:iCs/>
        </w:rPr>
        <w:t>)</w:t>
      </w:r>
    </w:p>
    <w:p w:rsidR="00883F1F" w:rsidRDefault="00883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AF1" w:rsidRDefault="00D65AF1">
      <w:bookmarkStart w:id="0" w:name="_GoBack"/>
      <w:bookmarkEnd w:id="0"/>
    </w:p>
    <w:sectPr w:rsidR="00D65AF1" w:rsidSect="005A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33"/>
    <w:rsid w:val="00536D33"/>
    <w:rsid w:val="00883F1F"/>
    <w:rsid w:val="00D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3F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3F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3;fld=134;dst=101124" TargetMode="External"/><Relationship Id="rId13" Type="http://schemas.openxmlformats.org/officeDocument/2006/relationships/hyperlink" Target="consultantplus://offline/main?base=LAW;n=109603;fld=134;dst=100488" TargetMode="External"/><Relationship Id="rId18" Type="http://schemas.openxmlformats.org/officeDocument/2006/relationships/hyperlink" Target="consultantplus://offline/main?base=LAW;n=102557;fld=134;dst=1000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2537;fld=134;dst=101022" TargetMode="External"/><Relationship Id="rId12" Type="http://schemas.openxmlformats.org/officeDocument/2006/relationships/hyperlink" Target="consultantplus://offline/main?base=LAW;n=109603;fld=134;dst=100488" TargetMode="External"/><Relationship Id="rId17" Type="http://schemas.openxmlformats.org/officeDocument/2006/relationships/hyperlink" Target="consultantplus://offline/main?base=LAW;n=99536;fld=134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09301;fld=134;dst=100010" TargetMode="External"/><Relationship Id="rId20" Type="http://schemas.openxmlformats.org/officeDocument/2006/relationships/hyperlink" Target="consultantplus://offline/main?base=LAW;n=112557;fld=134;dst=10000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4693;fld=134;dst=101124" TargetMode="External"/><Relationship Id="rId11" Type="http://schemas.openxmlformats.org/officeDocument/2006/relationships/hyperlink" Target="consultantplus://offline/main?base=LAW;n=109603;fld=134;dst=101523" TargetMode="External"/><Relationship Id="rId5" Type="http://schemas.openxmlformats.org/officeDocument/2006/relationships/hyperlink" Target="consultantplus://offline/main?base=LAW;n=112537;fld=134;dst=101020" TargetMode="External"/><Relationship Id="rId15" Type="http://schemas.openxmlformats.org/officeDocument/2006/relationships/hyperlink" Target="consultantplus://offline/main?base=LAW;n=112537;fld=134;dst=101026" TargetMode="External"/><Relationship Id="rId10" Type="http://schemas.openxmlformats.org/officeDocument/2006/relationships/hyperlink" Target="consultantplus://offline/main?base=LAW;n=112537;fld=134;dst=101025" TargetMode="External"/><Relationship Id="rId19" Type="http://schemas.openxmlformats.org/officeDocument/2006/relationships/hyperlink" Target="consultantplus://offline/main?base=LAW;n=112537;fld=134;dst=101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537;fld=134;dst=100027" TargetMode="External"/><Relationship Id="rId14" Type="http://schemas.openxmlformats.org/officeDocument/2006/relationships/hyperlink" Target="consultantplus://offline/main?base=LAW;n=112557;fld=134;dst=100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7513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Ирина Григорьевна</dc:creator>
  <cp:keywords/>
  <dc:description/>
  <cp:lastModifiedBy>Потехина Ирина Григорьевна</cp:lastModifiedBy>
  <cp:revision>2</cp:revision>
  <dcterms:created xsi:type="dcterms:W3CDTF">2011-06-22T10:50:00Z</dcterms:created>
  <dcterms:modified xsi:type="dcterms:W3CDTF">2011-06-22T10:51:00Z</dcterms:modified>
</cp:coreProperties>
</file>